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黑体" w:hAnsi="黑体" w:eastAsia="黑体" w:cs="黑体"/>
          <w:b w:val="0"/>
          <w:bCs w:val="0"/>
          <w:color w:val="000000"/>
          <w:sz w:val="30"/>
          <w:szCs w:val="30"/>
          <w:lang w:val="en-US" w:eastAsia="zh-CN"/>
        </w:rPr>
      </w:pPr>
      <w:r>
        <w:rPr>
          <w:rFonts w:hint="eastAsia" w:ascii="黑体" w:hAnsi="黑体" w:eastAsia="黑体" w:cs="黑体"/>
          <w:b w:val="0"/>
          <w:bCs w:val="0"/>
          <w:color w:val="000000"/>
          <w:sz w:val="30"/>
          <w:szCs w:val="30"/>
        </w:rPr>
        <w:t>江西科伦医疗器械制造有限公司</w:t>
      </w:r>
      <w:r>
        <w:rPr>
          <w:rFonts w:hint="eastAsia" w:ascii="黑体" w:hAnsi="黑体" w:eastAsia="黑体" w:cs="黑体"/>
          <w:b w:val="0"/>
          <w:bCs w:val="0"/>
          <w:color w:val="000000"/>
          <w:sz w:val="30"/>
          <w:szCs w:val="30"/>
          <w:lang w:val="en-US" w:eastAsia="zh-CN"/>
        </w:rPr>
        <w:t>采血管</w:t>
      </w:r>
    </w:p>
    <w:p>
      <w:pPr>
        <w:keepNext w:val="0"/>
        <w:keepLines w:val="0"/>
        <w:pageBreakBefore w:val="0"/>
        <w:kinsoku/>
        <w:wordWrap/>
        <w:overflowPunct/>
        <w:topLinePunct w:val="0"/>
        <w:autoSpaceDE/>
        <w:autoSpaceDN/>
        <w:bidi w:val="0"/>
        <w:adjustRightInd/>
        <w:snapToGrid/>
        <w:spacing w:line="540" w:lineRule="exact"/>
        <w:jc w:val="center"/>
        <w:textAlignment w:val="auto"/>
        <w:rPr>
          <w:rFonts w:asciiTheme="minorEastAsia" w:hAnsiTheme="minorEastAsia" w:eastAsiaTheme="minorEastAsia"/>
          <w:b/>
          <w:sz w:val="36"/>
          <w:szCs w:val="36"/>
        </w:rPr>
      </w:pPr>
      <w:r>
        <w:rPr>
          <w:rFonts w:hint="eastAsia" w:ascii="黑体" w:hAnsi="黑体" w:eastAsia="黑体" w:cs="黑体"/>
          <w:b w:val="0"/>
          <w:bCs w:val="0"/>
          <w:color w:val="000000"/>
          <w:sz w:val="30"/>
          <w:szCs w:val="30"/>
          <w:lang w:val="en-US" w:eastAsia="zh-CN"/>
        </w:rPr>
        <w:t>模具采购</w:t>
      </w:r>
      <w:r>
        <w:rPr>
          <w:rFonts w:hint="eastAsia" w:ascii="黑体" w:hAnsi="黑体" w:eastAsia="黑体" w:cs="黑体"/>
          <w:b w:val="0"/>
          <w:bCs w:val="0"/>
          <w:sz w:val="30"/>
          <w:szCs w:val="30"/>
        </w:rPr>
        <w:t>招标文件</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一、项目名称</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val="0"/>
          <w:bCs w:val="0"/>
          <w:color w:val="000000"/>
          <w:sz w:val="24"/>
          <w:lang w:val="en-US" w:eastAsia="zh-CN"/>
        </w:rPr>
      </w:pPr>
      <w:r>
        <w:rPr>
          <w:rFonts w:hint="eastAsia" w:ascii="等线" w:hAnsi="等线" w:eastAsia="等线" w:cs="等线"/>
          <w:b w:val="0"/>
          <w:bCs w:val="0"/>
          <w:color w:val="000000"/>
          <w:sz w:val="24"/>
          <w:lang w:val="en-US" w:eastAsia="zh-CN"/>
        </w:rPr>
        <w:t>1、江西科伦医疗器械制造有限公司采血管模具采购项目。</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二、项目地址</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val="0"/>
          <w:bCs w:val="0"/>
          <w:color w:val="000000"/>
          <w:sz w:val="24"/>
          <w:lang w:val="en-US" w:eastAsia="zh-CN"/>
        </w:rPr>
      </w:pPr>
      <w:r>
        <w:rPr>
          <w:rFonts w:hint="eastAsia" w:ascii="等线" w:hAnsi="等线" w:eastAsia="等线" w:cs="等线"/>
          <w:b w:val="0"/>
          <w:bCs w:val="0"/>
          <w:color w:val="000000"/>
          <w:sz w:val="24"/>
          <w:lang w:val="en-US" w:eastAsia="zh-CN"/>
        </w:rPr>
        <w:t>1、江西省宜春市袁州区医药工业园-江西科伦医疗器械制造有限公司。</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三、技术要求</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val="0"/>
          <w:bCs w:val="0"/>
          <w:color w:val="000000"/>
          <w:sz w:val="24"/>
          <w:lang w:val="en-US" w:eastAsia="zh-CN"/>
        </w:rPr>
      </w:pPr>
      <w:r>
        <w:rPr>
          <w:rFonts w:hint="eastAsia" w:ascii="等线" w:hAnsi="等线" w:eastAsia="等线" w:cs="等线"/>
          <w:b w:val="0"/>
          <w:bCs w:val="0"/>
          <w:color w:val="000000"/>
          <w:sz w:val="24"/>
          <w:lang w:val="en-US" w:eastAsia="zh-CN"/>
        </w:rPr>
        <w:t>1、参照附件1：《科伦公司采血管模具技术要求》相关要求。</w:t>
      </w:r>
    </w:p>
    <w:p>
      <w:pPr>
        <w:pStyle w:val="2"/>
        <w:ind w:left="0" w:leftChars="0" w:firstLine="0" w:firstLineChars="0"/>
        <w:rPr>
          <w:rFonts w:hint="default"/>
          <w:lang w:val="en-US" w:eastAsia="zh-CN"/>
        </w:rPr>
      </w:pPr>
      <w:r>
        <w:rPr>
          <w:rFonts w:hint="eastAsia" w:ascii="等线" w:hAnsi="等线" w:eastAsia="等线" w:cs="等线"/>
          <w:b w:val="0"/>
          <w:bCs w:val="0"/>
          <w:color w:val="000000"/>
          <w:sz w:val="24"/>
          <w:lang w:val="en-US" w:eastAsia="zh-CN"/>
        </w:rPr>
        <w:t>2、采购数量：75mm、100mm各1套，共2套。</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四、投标保证金</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1、项目投标保证金为人民币40,000.00元整，</w:t>
      </w:r>
      <w:r>
        <w:rPr>
          <w:rFonts w:hint="eastAsia" w:ascii="等线" w:hAnsi="等线" w:eastAsia="等线" w:cs="等线"/>
          <w:b w:val="0"/>
          <w:bCs w:val="0"/>
          <w:color w:val="000000"/>
          <w:sz w:val="24"/>
          <w:lang w:val="en-US" w:eastAsia="zh-CN"/>
        </w:rPr>
        <w:t>投标方须在2023年03月08日下午17时00</w:t>
      </w:r>
      <w:r>
        <w:rPr>
          <w:rFonts w:hint="eastAsia" w:ascii="等线" w:hAnsi="等线" w:eastAsia="等线" w:cs="等线"/>
          <w:color w:val="000000"/>
          <w:sz w:val="24"/>
          <w:lang w:val="en-US" w:eastAsia="zh-CN"/>
        </w:rPr>
        <w:t>分前从本企业基本账户汇至招标方指定账户（到账时间以到账证明为准）。</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2、招标方指定账户信息</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公司名称：江西科伦医疗器械制造有限公司</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开户银行：中国银行宜春市袁州支行</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账    号：196209369286</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地    址：江西省宜春市袁州区医药工业园</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3、未中标单位保证金在招标完毕后7个工作日内无息返还；中标单位在签订合同后，投标保证金无息返还中标方；投标单位如中标后反悔，投标保证金不予退还。</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rPr>
      </w:pPr>
      <w:r>
        <w:rPr>
          <w:rFonts w:hint="eastAsia" w:ascii="等线" w:hAnsi="等线" w:eastAsia="等线" w:cs="等线"/>
          <w:b/>
          <w:sz w:val="28"/>
          <w:szCs w:val="28"/>
          <w:highlight w:val="none"/>
          <w:lang w:val="en-US" w:eastAsia="zh-CN"/>
        </w:rPr>
        <w:t>五</w:t>
      </w:r>
      <w:r>
        <w:rPr>
          <w:rFonts w:hint="eastAsia" w:ascii="等线" w:hAnsi="等线" w:eastAsia="等线" w:cs="等线"/>
          <w:b/>
          <w:sz w:val="28"/>
          <w:szCs w:val="28"/>
          <w:highlight w:val="none"/>
        </w:rPr>
        <w:t>、履约保证金</w:t>
      </w:r>
    </w:p>
    <w:p>
      <w:pPr>
        <w:keepNext w:val="0"/>
        <w:keepLines w:val="0"/>
        <w:pageBreakBefore w:val="0"/>
        <w:kinsoku/>
        <w:wordWrap/>
        <w:overflowPunct/>
        <w:topLinePunct w:val="0"/>
        <w:autoSpaceDE/>
        <w:autoSpaceDN/>
        <w:bidi w:val="0"/>
        <w:adjustRightInd/>
        <w:snapToGrid/>
        <w:spacing w:line="540" w:lineRule="exact"/>
        <w:ind w:firstLine="480" w:firstLineChars="200"/>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双方签订合同前，中标方须向招标方缴纳履约保证金，履约保证金为中标金额的10%，形式为银行保函或电汇，银行保函应当由招标单位所在省区域内或者外埠企业注册所在地（设区市区域内）的全国性商业银行、城市商业银行开具。招标方在全部设备到货验收合格后，无息全额退还中标方履约保证金。</w:t>
      </w:r>
    </w:p>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等线" w:hAnsi="等线" w:eastAsia="等线" w:cs="等线"/>
          <w:b/>
          <w:sz w:val="28"/>
          <w:szCs w:val="28"/>
        </w:rPr>
      </w:pPr>
      <w:r>
        <w:rPr>
          <w:rFonts w:hint="eastAsia" w:ascii="等线" w:hAnsi="等线" w:eastAsia="等线" w:cs="等线"/>
          <w:b/>
          <w:sz w:val="28"/>
          <w:szCs w:val="28"/>
          <w:lang w:val="en-US" w:eastAsia="zh-CN"/>
        </w:rPr>
        <w:t>六</w:t>
      </w:r>
      <w:r>
        <w:rPr>
          <w:rFonts w:hint="eastAsia" w:ascii="等线" w:hAnsi="等线" w:eastAsia="等线" w:cs="等线"/>
          <w:b/>
          <w:sz w:val="28"/>
          <w:szCs w:val="28"/>
        </w:rPr>
        <w:t>、商务要求：</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b/>
          <w:bCs/>
          <w:color w:val="000000"/>
          <w:sz w:val="24"/>
          <w:lang w:val="en-US" w:eastAsia="zh-CN"/>
        </w:rPr>
        <w:t>1、项目工期：</w:t>
      </w:r>
      <w:r>
        <w:rPr>
          <w:rFonts w:hint="eastAsia" w:ascii="等线" w:hAnsi="等线" w:eastAsia="等线" w:cs="等线"/>
          <w:color w:val="000000"/>
          <w:sz w:val="24"/>
          <w:lang w:val="en-US" w:eastAsia="zh-CN"/>
        </w:rPr>
        <w:t>中标方须在接到中标通知书之日起90天内完成整套模具的生产和交付工作。</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b/>
          <w:bCs/>
          <w:color w:val="000000"/>
          <w:sz w:val="24"/>
          <w:lang w:val="en-US" w:eastAsia="zh-CN"/>
        </w:rPr>
        <w:t>2、付款方式：</w:t>
      </w:r>
      <w:r>
        <w:rPr>
          <w:rFonts w:hint="eastAsia" w:ascii="等线" w:hAnsi="等线" w:eastAsia="等线" w:cs="等线"/>
          <w:color w:val="000000"/>
          <w:sz w:val="24"/>
          <w:lang w:val="en-US" w:eastAsia="zh-CN"/>
        </w:rPr>
        <w:t>合同签订生效后10日内支付合同总价款30%预付款；模具到厂后支付合同总价款30%的到货款；模具开始使用经甲方验收合格支付30%验收款；余款10%为质量保证金，</w:t>
      </w:r>
      <w:bookmarkStart w:id="0" w:name="_Hlk100677125"/>
      <w:r>
        <w:rPr>
          <w:rFonts w:hint="eastAsia" w:ascii="等线" w:hAnsi="等线" w:eastAsia="等线" w:cs="等线"/>
          <w:color w:val="000000"/>
          <w:sz w:val="24"/>
          <w:lang w:val="en-US" w:eastAsia="zh-CN"/>
        </w:rPr>
        <w:t>质保期一年</w:t>
      </w:r>
      <w:bookmarkEnd w:id="0"/>
      <w:r>
        <w:rPr>
          <w:rFonts w:hint="eastAsia" w:ascii="等线" w:hAnsi="等线" w:eastAsia="等线" w:cs="等线"/>
          <w:color w:val="000000"/>
          <w:sz w:val="24"/>
          <w:lang w:val="en-US" w:eastAsia="zh-CN"/>
        </w:rPr>
        <w:t>，在质保期满模具无质量问题的情况下10日内支付剩余款项；中标人需提供设备全额增值税专用发票。</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Cs/>
          <w:sz w:val="24"/>
          <w:highlight w:val="none"/>
        </w:rPr>
      </w:pPr>
      <w:r>
        <w:rPr>
          <w:rFonts w:hint="eastAsia" w:ascii="等线" w:hAnsi="等线" w:eastAsia="等线" w:cs="等线"/>
          <w:b/>
          <w:bCs/>
          <w:color w:val="000000"/>
          <w:sz w:val="24"/>
          <w:lang w:val="en-US" w:eastAsia="zh-CN"/>
        </w:rPr>
        <w:t>3.、质保期：</w:t>
      </w:r>
      <w:r>
        <w:rPr>
          <w:rFonts w:hint="eastAsia" w:ascii="等线" w:hAnsi="等线" w:eastAsia="等线" w:cs="等线"/>
          <w:color w:val="000000"/>
          <w:sz w:val="24"/>
          <w:lang w:val="en-US" w:eastAsia="zh-CN"/>
        </w:rPr>
        <w:t>设备质保期一年（在招标方出具设备验收合格报告之日起开始计算）</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lang w:eastAsia="zh-CN"/>
        </w:rPr>
      </w:pPr>
      <w:r>
        <w:rPr>
          <w:rFonts w:hint="eastAsia" w:ascii="等线" w:hAnsi="等线" w:eastAsia="等线" w:cs="等线"/>
          <w:b/>
          <w:sz w:val="28"/>
          <w:szCs w:val="28"/>
          <w:lang w:val="en-US" w:eastAsia="zh-CN"/>
        </w:rPr>
        <w:t>七</w:t>
      </w:r>
      <w:r>
        <w:rPr>
          <w:rFonts w:hint="eastAsia" w:ascii="等线" w:hAnsi="等线" w:eastAsia="等线" w:cs="等线"/>
          <w:b/>
          <w:sz w:val="28"/>
          <w:szCs w:val="28"/>
        </w:rPr>
        <w:t>、投标文件的构成</w:t>
      </w:r>
      <w:r>
        <w:rPr>
          <w:rFonts w:hint="eastAsia" w:ascii="等线" w:hAnsi="等线" w:eastAsia="等线" w:cs="等线"/>
          <w:b/>
          <w:sz w:val="28"/>
          <w:szCs w:val="28"/>
          <w:lang w:eastAsia="zh-CN"/>
        </w:rPr>
        <w:t>（</w:t>
      </w:r>
      <w:r>
        <w:rPr>
          <w:rFonts w:hint="eastAsia" w:ascii="等线" w:hAnsi="等线" w:eastAsia="等线" w:cs="等线"/>
          <w:color w:val="000000"/>
          <w:sz w:val="28"/>
          <w:szCs w:val="28"/>
          <w:lang w:val="en-US" w:eastAsia="zh-CN"/>
        </w:rPr>
        <w:t>正本壹份，副本贰份</w:t>
      </w:r>
      <w:r>
        <w:rPr>
          <w:rFonts w:hint="eastAsia" w:ascii="等线" w:hAnsi="等线" w:eastAsia="等线" w:cs="等线"/>
          <w:b/>
          <w:sz w:val="28"/>
          <w:szCs w:val="28"/>
          <w:lang w:eastAsia="zh-CN"/>
        </w:rPr>
        <w:t>）</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投标人提交的投标文件应包括以下内容（但不仅限于下列部分）：</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1、开标一览表</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2、开标一览明细表</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3、技术规格响应/偏离表</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4、商务条款响应/偏离表</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5、法定代表人授权书</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6、法定代表人资格证明书</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7、法定代表人授权委托书（如适用）</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8、资格证明文件（参考招标文件第八条）</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9、技术方案文件（含设备清单）</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10、其他商务文件</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八、投标人资格及文件：</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1、具有独立承担民事责任的能力（投标人须提交营业执照副本、组织机构代码证和税务登记证副本（或三证合一的营业执照副本）扫描件加盖公章）；</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2、具有良好的商业信誉和健全的财务会计制度（提供开标前二个年度内任一年度经审计的财务状况报告或在开标前三个月内其基本开户银行出具的资信证明扫描件加盖公章）；</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3、具有履行合同所必须的设备和专业技术能力（提供具有履行合同所必须的设备和专业技术能力的承诺函）；</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4、近三年内（本项目投标截止期前）未被《信用中国》（网站：</w:t>
      </w:r>
      <w:r>
        <w:rPr>
          <w:rFonts w:hint="eastAsia" w:ascii="等线" w:hAnsi="等线" w:eastAsia="等线" w:cs="等线"/>
          <w:color w:val="000000"/>
          <w:sz w:val="24"/>
          <w:lang w:val="en-US" w:eastAsia="zh-CN"/>
        </w:rPr>
        <w:fldChar w:fldCharType="begin"/>
      </w:r>
      <w:r>
        <w:rPr>
          <w:rFonts w:hint="eastAsia" w:ascii="等线" w:hAnsi="等线" w:eastAsia="等线" w:cs="等线"/>
          <w:color w:val="000000"/>
          <w:sz w:val="24"/>
          <w:lang w:val="en-US" w:eastAsia="zh-CN"/>
        </w:rPr>
        <w:instrText xml:space="preserve"> HYPERLINK "http://www.creditchina.gov.cn)列入失信被执行人及重大税收违法案件（提供查询截图）。" </w:instrText>
      </w:r>
      <w:r>
        <w:rPr>
          <w:rFonts w:hint="eastAsia" w:ascii="等线" w:hAnsi="等线" w:eastAsia="等线" w:cs="等线"/>
          <w:color w:val="000000"/>
          <w:sz w:val="24"/>
          <w:lang w:val="en-US" w:eastAsia="zh-CN"/>
        </w:rPr>
        <w:fldChar w:fldCharType="separate"/>
      </w:r>
      <w:r>
        <w:rPr>
          <w:rFonts w:hint="eastAsia" w:ascii="等线" w:hAnsi="等线" w:eastAsia="等线" w:cs="等线"/>
          <w:color w:val="000000"/>
          <w:sz w:val="24"/>
          <w:lang w:val="en-US" w:eastAsia="zh-CN"/>
        </w:rPr>
        <w:t>www.creditchina.gov.cn)列入失信被执行人及重大税收违法案件</w:t>
      </w:r>
      <w:bookmarkStart w:id="1" w:name="_Hlk100826011"/>
      <w:r>
        <w:rPr>
          <w:rFonts w:hint="eastAsia" w:ascii="等线" w:hAnsi="等线" w:eastAsia="等线" w:cs="等线"/>
          <w:color w:val="000000"/>
          <w:sz w:val="24"/>
          <w:lang w:val="en-US" w:eastAsia="zh-CN"/>
        </w:rPr>
        <w:t>（提供查询截图）。</w:t>
      </w:r>
      <w:r>
        <w:rPr>
          <w:rFonts w:hint="eastAsia" w:ascii="等线" w:hAnsi="等线" w:eastAsia="等线" w:cs="等线"/>
          <w:color w:val="000000"/>
          <w:sz w:val="24"/>
          <w:lang w:val="en-US" w:eastAsia="zh-CN"/>
        </w:rPr>
        <w:fldChar w:fldCharType="end"/>
      </w:r>
    </w:p>
    <w:p>
      <w:pPr>
        <w:keepNext w:val="0"/>
        <w:keepLines w:val="0"/>
        <w:pageBreakBefore w:val="0"/>
        <w:kinsoku/>
        <w:wordWrap/>
        <w:overflowPunct/>
        <w:topLinePunct w:val="0"/>
        <w:autoSpaceDE/>
        <w:autoSpaceDN/>
        <w:bidi w:val="0"/>
        <w:adjustRightInd/>
        <w:snapToGrid/>
        <w:spacing w:line="540" w:lineRule="exact"/>
        <w:textAlignment w:val="auto"/>
        <w:rPr>
          <w:rFonts w:hint="eastAsia"/>
        </w:rPr>
      </w:pPr>
      <w:r>
        <w:rPr>
          <w:rFonts w:hint="eastAsia" w:ascii="等线" w:hAnsi="等线" w:eastAsia="等线" w:cs="等线"/>
          <w:color w:val="000000"/>
          <w:sz w:val="24"/>
          <w:lang w:val="en-US" w:eastAsia="zh-CN"/>
        </w:rPr>
        <w:t>5、本项目不接受联合体投标。</w:t>
      </w:r>
    </w:p>
    <w:bookmarkEnd w:id="1"/>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九、投标文件的密封与标志</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1、投标方将投标文件装入密封文件袋内密封，封口处应加盖投标人法人章及骑缝章。封皮上应注明竞标项目名称、招标材料名称、投标单位名称、联系人及联系方式等。</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2、招标方拒收投标方未封装的投标文件。</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十、投标截止时间、开标时间及地点</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1、本项目投标截止时间和开标时间为2023年03月09日上午09:30时（北京时间）。投标人必须在投标截止时间前将投标文件以快递方式寄送出投标文件（寄送日期以招标方收到的快递单号寄送日期或邮戳日期为准）。</w:t>
      </w:r>
    </w:p>
    <w:p>
      <w:pPr>
        <w:spacing w:line="360" w:lineRule="auto"/>
        <w:rPr>
          <w:rFonts w:hint="eastAsia" w:ascii="等线" w:hAnsi="等线" w:eastAsia="等线" w:cs="等线"/>
          <w:b/>
          <w:bCs/>
          <w:color w:val="000000"/>
          <w:sz w:val="24"/>
          <w:u w:val="single"/>
          <w:lang w:val="en-US" w:eastAsia="zh-CN"/>
        </w:rPr>
      </w:pPr>
      <w:r>
        <w:rPr>
          <w:rFonts w:hint="eastAsia" w:ascii="等线" w:hAnsi="等线" w:eastAsia="等线" w:cs="等线"/>
          <w:b/>
          <w:bCs/>
          <w:color w:val="000000"/>
          <w:sz w:val="24"/>
          <w:u w:val="single"/>
          <w:lang w:val="en-US" w:eastAsia="zh-CN"/>
        </w:rPr>
        <w:t xml:space="preserve">2、投标文件送达地址：北京市大兴区经济技术开发区科创六街87号  中红普林集团有限公司  高鹏：13810718401 </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为避免混淆，请竞标人务必在邮件外包装上注明投标单位名称及投标项目名称，同时将快递单号发送给招标方联系人。</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3、为避免因标书邮寄延误造成不能按时开标，要求投标方在寄送投标文件的同时向招标方指定邮箱发送电子标书，电子标书内容须同投标文件内容相同，否则视为废标，报价无效。</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bCs/>
          <w:color w:val="000000"/>
          <w:sz w:val="24"/>
          <w:u w:val="single"/>
          <w:lang w:val="en-US" w:eastAsia="zh-CN"/>
        </w:rPr>
      </w:pPr>
      <w:r>
        <w:rPr>
          <w:rFonts w:hint="eastAsia" w:ascii="等线" w:hAnsi="等线" w:eastAsia="等线" w:cs="等线"/>
          <w:b/>
          <w:bCs/>
          <w:color w:val="000000"/>
          <w:sz w:val="24"/>
          <w:u w:val="single"/>
          <w:lang w:val="en-US" w:eastAsia="zh-CN"/>
        </w:rPr>
        <w:t>指定邮箱地址：zbzy@zhonghongpulin.cn</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4、开标地点：招标方暂定于2023年03月09日上午在北京中红普林医疗集团总部组织进行项目的开标评标。开标时间如有变更，以招标方发布的通知为准。</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十一、评标方式</w:t>
      </w:r>
    </w:p>
    <w:p>
      <w:pPr>
        <w:keepNext w:val="0"/>
        <w:keepLines w:val="0"/>
        <w:pageBreakBefore w:val="0"/>
        <w:kinsoku/>
        <w:wordWrap/>
        <w:overflowPunct/>
        <w:topLinePunct w:val="0"/>
        <w:autoSpaceDE/>
        <w:autoSpaceDN/>
        <w:bidi w:val="0"/>
        <w:adjustRightInd/>
        <w:snapToGrid/>
        <w:spacing w:line="540" w:lineRule="exact"/>
        <w:ind w:firstLine="240" w:firstLineChars="100"/>
        <w:textAlignment w:val="auto"/>
        <w:rPr>
          <w:rFonts w:hint="eastAsia" w:ascii="等线" w:hAnsi="等线" w:eastAsia="等线" w:cs="等线"/>
          <w:color w:val="000000"/>
          <w:sz w:val="24"/>
          <w:lang w:val="en-US" w:eastAsia="zh-CN"/>
        </w:rPr>
      </w:pPr>
      <w:r>
        <w:rPr>
          <w:rFonts w:hint="eastAsia" w:ascii="等线" w:hAnsi="等线" w:eastAsia="等线" w:cs="等线"/>
          <w:color w:val="auto"/>
          <w:sz w:val="24"/>
          <w:szCs w:val="24"/>
          <w:u w:val="none"/>
          <w:lang w:val="en-US" w:eastAsia="zh-CN"/>
        </w:rPr>
        <w:t>投标方递交的投标方案需经招标方评审通过后方可参加评标。本次招标采取综合评分法进行评标，在设计方案和技术要求均能满足要求的提前下，招标方根据评审后分数最高的原则确定中标单位。</w:t>
      </w:r>
      <w:r>
        <w:rPr>
          <w:rFonts w:hint="eastAsia" w:ascii="等线" w:hAnsi="等线" w:eastAsia="等线" w:cs="等线"/>
          <w:color w:val="000000"/>
          <w:sz w:val="24"/>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十二、其他事项</w:t>
      </w:r>
    </w:p>
    <w:p>
      <w:pPr>
        <w:keepNext w:val="0"/>
        <w:keepLines w:val="0"/>
        <w:pageBreakBefore w:val="0"/>
        <w:numPr>
          <w:ilvl w:val="0"/>
          <w:numId w:val="1"/>
        </w:numPr>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招标结束后招标方发布招标情况公示，并为中标单位发送中标通知函、未中标单位发送未中标通知函。</w:t>
      </w:r>
    </w:p>
    <w:p>
      <w:pPr>
        <w:keepNext w:val="0"/>
        <w:keepLines w:val="0"/>
        <w:pageBreakBefore w:val="0"/>
        <w:numPr>
          <w:ilvl w:val="0"/>
          <w:numId w:val="0"/>
        </w:numPr>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2、招标方确定中标单位后，与中标单位签署《廉洁合作协议书》。</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color w:val="000000"/>
          <w:sz w:val="24"/>
          <w:lang w:val="en-US" w:eastAsia="zh-CN"/>
        </w:rPr>
        <w:t>3、如招标方在招标过程中有违法或违背招标文件相关要求的行为，投标单位可进行举报，举报邮箱：kelunyixie@163.com</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4、无论是否中标，竞标人的投标文件概不退还。</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4"/>
        </w:rPr>
      </w:pPr>
      <w:r>
        <w:rPr>
          <w:rFonts w:hint="eastAsia" w:ascii="等线" w:hAnsi="等线" w:eastAsia="等线" w:cs="等线"/>
          <w:color w:val="000000"/>
          <w:sz w:val="24"/>
          <w:lang w:val="en-US" w:eastAsia="zh-CN"/>
        </w:rPr>
        <w:t>5、、竞标人参加竞标时的一切费用由竞标人负担。</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十三、联系方式</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崔瑞军-15833597711（微信同号）       高鹏-13810718401（微信同号）</w:t>
      </w:r>
    </w:p>
    <w:p>
      <w:pPr>
        <w:keepNext w:val="0"/>
        <w:keepLines w:val="0"/>
        <w:pageBreakBefore w:val="0"/>
        <w:kinsoku/>
        <w:wordWrap/>
        <w:overflowPunct/>
        <w:topLinePunct w:val="0"/>
        <w:autoSpaceDE/>
        <w:autoSpaceDN/>
        <w:bidi w:val="0"/>
        <w:adjustRightInd/>
        <w:snapToGrid/>
        <w:spacing w:line="540" w:lineRule="exact"/>
        <w:jc w:val="right"/>
        <w:textAlignment w:val="auto"/>
        <w:rPr>
          <w:rFonts w:hint="eastAsia" w:ascii="等线" w:hAnsi="等线" w:eastAsia="等线" w:cs="等线"/>
          <w:color w:val="000000"/>
          <w:sz w:val="24"/>
        </w:rPr>
      </w:pPr>
    </w:p>
    <w:p>
      <w:pPr>
        <w:keepNext w:val="0"/>
        <w:keepLines w:val="0"/>
        <w:pageBreakBefore w:val="0"/>
        <w:kinsoku/>
        <w:wordWrap/>
        <w:overflowPunct/>
        <w:topLinePunct w:val="0"/>
        <w:autoSpaceDE/>
        <w:autoSpaceDN/>
        <w:bidi w:val="0"/>
        <w:adjustRightInd/>
        <w:snapToGrid/>
        <w:spacing w:line="540" w:lineRule="exact"/>
        <w:jc w:val="right"/>
        <w:textAlignment w:val="auto"/>
        <w:rPr>
          <w:rFonts w:hint="eastAsia" w:ascii="等线" w:hAnsi="等线" w:eastAsia="等线" w:cs="等线"/>
          <w:color w:val="000000"/>
          <w:sz w:val="24"/>
        </w:rPr>
      </w:pPr>
    </w:p>
    <w:p>
      <w:pPr>
        <w:keepNext w:val="0"/>
        <w:keepLines w:val="0"/>
        <w:pageBreakBefore w:val="0"/>
        <w:kinsoku/>
        <w:wordWrap/>
        <w:overflowPunct/>
        <w:topLinePunct w:val="0"/>
        <w:autoSpaceDE/>
        <w:autoSpaceDN/>
        <w:bidi w:val="0"/>
        <w:adjustRightInd/>
        <w:snapToGrid/>
        <w:spacing w:line="540" w:lineRule="exact"/>
        <w:jc w:val="right"/>
        <w:textAlignment w:val="auto"/>
        <w:rPr>
          <w:rFonts w:hint="eastAsia" w:ascii="等线" w:hAnsi="等线" w:eastAsia="等线" w:cs="等线"/>
          <w:color w:val="000000"/>
          <w:sz w:val="24"/>
        </w:rPr>
      </w:pPr>
    </w:p>
    <w:p>
      <w:pPr>
        <w:keepNext w:val="0"/>
        <w:keepLines w:val="0"/>
        <w:pageBreakBefore w:val="0"/>
        <w:kinsoku/>
        <w:wordWrap/>
        <w:overflowPunct/>
        <w:topLinePunct w:val="0"/>
        <w:autoSpaceDE/>
        <w:autoSpaceDN/>
        <w:bidi w:val="0"/>
        <w:adjustRightInd/>
        <w:snapToGrid/>
        <w:spacing w:line="540" w:lineRule="exact"/>
        <w:jc w:val="right"/>
        <w:textAlignment w:val="auto"/>
        <w:rPr>
          <w:rFonts w:hint="eastAsia" w:ascii="等线" w:hAnsi="等线" w:eastAsia="等线" w:cs="等线"/>
          <w:color w:val="000000"/>
          <w:sz w:val="24"/>
        </w:rPr>
      </w:pPr>
    </w:p>
    <w:p>
      <w:pPr>
        <w:keepNext w:val="0"/>
        <w:keepLines w:val="0"/>
        <w:pageBreakBefore w:val="0"/>
        <w:kinsoku/>
        <w:wordWrap/>
        <w:overflowPunct/>
        <w:topLinePunct w:val="0"/>
        <w:autoSpaceDE/>
        <w:autoSpaceDN/>
        <w:bidi w:val="0"/>
        <w:adjustRightInd/>
        <w:snapToGrid/>
        <w:spacing w:line="540" w:lineRule="exact"/>
        <w:jc w:val="right"/>
        <w:textAlignment w:val="auto"/>
        <w:rPr>
          <w:rFonts w:hint="eastAsia" w:ascii="等线" w:hAnsi="等线" w:eastAsia="等线" w:cs="等线"/>
          <w:b/>
          <w:bCs/>
          <w:sz w:val="28"/>
          <w:szCs w:val="28"/>
        </w:rPr>
      </w:pPr>
      <w:r>
        <w:rPr>
          <w:rFonts w:hint="eastAsia" w:ascii="等线" w:hAnsi="等线" w:eastAsia="等线" w:cs="等线"/>
          <w:b/>
          <w:bCs/>
          <w:color w:val="000000"/>
          <w:sz w:val="28"/>
          <w:szCs w:val="28"/>
        </w:rPr>
        <w:t>江西科伦医疗器械制造有限公司</w:t>
      </w:r>
      <w:r>
        <w:rPr>
          <w:rFonts w:hint="eastAsia" w:ascii="等线" w:hAnsi="等线" w:eastAsia="等线" w:cs="等线"/>
          <w:b/>
          <w:bCs/>
          <w:sz w:val="28"/>
          <w:szCs w:val="28"/>
        </w:rPr>
        <w:t xml:space="preserve">　　             </w:t>
      </w:r>
    </w:p>
    <w:p>
      <w:pPr>
        <w:keepNext w:val="0"/>
        <w:keepLines w:val="0"/>
        <w:pageBreakBefore w:val="0"/>
        <w:kinsoku/>
        <w:wordWrap/>
        <w:overflowPunct/>
        <w:topLinePunct w:val="0"/>
        <w:autoSpaceDE/>
        <w:autoSpaceDN/>
        <w:bidi w:val="0"/>
        <w:adjustRightInd/>
        <w:snapToGrid/>
        <w:spacing w:line="540" w:lineRule="exact"/>
        <w:jc w:val="right"/>
        <w:textAlignment w:val="auto"/>
        <w:rPr>
          <w:rFonts w:hint="eastAsia" w:ascii="等线" w:hAnsi="等线" w:eastAsia="等线" w:cs="等线"/>
          <w:b/>
          <w:bCs/>
          <w:sz w:val="28"/>
          <w:szCs w:val="28"/>
        </w:rPr>
      </w:pPr>
      <w:r>
        <w:rPr>
          <w:rFonts w:hint="eastAsia" w:ascii="等线" w:hAnsi="等线" w:eastAsia="等线" w:cs="等线"/>
          <w:b/>
          <w:bCs/>
          <w:sz w:val="28"/>
          <w:szCs w:val="28"/>
        </w:rPr>
        <w:t xml:space="preserve"> </w:t>
      </w:r>
    </w:p>
    <w:p>
      <w:pPr>
        <w:keepNext w:val="0"/>
        <w:keepLines w:val="0"/>
        <w:pageBreakBefore w:val="0"/>
        <w:kinsoku/>
        <w:wordWrap/>
        <w:overflowPunct/>
        <w:topLinePunct w:val="0"/>
        <w:autoSpaceDE/>
        <w:autoSpaceDN/>
        <w:bidi w:val="0"/>
        <w:adjustRightInd/>
        <w:snapToGrid/>
        <w:spacing w:line="540" w:lineRule="exact"/>
        <w:jc w:val="right"/>
        <w:textAlignment w:val="auto"/>
        <w:rPr>
          <w:rFonts w:hint="eastAsia" w:ascii="等线" w:hAnsi="等线" w:eastAsia="等线" w:cs="等线"/>
          <w:bCs/>
          <w:sz w:val="28"/>
          <w:szCs w:val="28"/>
        </w:rPr>
      </w:pPr>
      <w:r>
        <w:rPr>
          <w:rFonts w:hint="eastAsia" w:ascii="等线" w:hAnsi="等线" w:eastAsia="等线" w:cs="等线"/>
          <w:b/>
          <w:bCs/>
          <w:sz w:val="28"/>
          <w:szCs w:val="28"/>
        </w:rPr>
        <w:t>202</w:t>
      </w:r>
      <w:r>
        <w:rPr>
          <w:rFonts w:hint="eastAsia" w:ascii="等线" w:hAnsi="等线" w:eastAsia="等线" w:cs="等线"/>
          <w:b/>
          <w:bCs/>
          <w:sz w:val="28"/>
          <w:szCs w:val="28"/>
          <w:lang w:val="en-US" w:eastAsia="zh-CN"/>
        </w:rPr>
        <w:t>3</w:t>
      </w:r>
      <w:r>
        <w:rPr>
          <w:rFonts w:hint="eastAsia" w:ascii="等线" w:hAnsi="等线" w:eastAsia="等线" w:cs="等线"/>
          <w:b/>
          <w:bCs/>
          <w:sz w:val="28"/>
          <w:szCs w:val="28"/>
        </w:rPr>
        <w:t>年</w:t>
      </w:r>
      <w:r>
        <w:rPr>
          <w:rFonts w:hint="eastAsia" w:ascii="等线" w:hAnsi="等线" w:eastAsia="等线" w:cs="等线"/>
          <w:b/>
          <w:bCs/>
          <w:sz w:val="28"/>
          <w:szCs w:val="28"/>
          <w:lang w:val="en-US" w:eastAsia="zh-CN"/>
        </w:rPr>
        <w:t>02</w:t>
      </w:r>
      <w:r>
        <w:rPr>
          <w:rFonts w:hint="eastAsia" w:ascii="等线" w:hAnsi="等线" w:eastAsia="等线" w:cs="等线"/>
          <w:b/>
          <w:bCs/>
          <w:sz w:val="28"/>
          <w:szCs w:val="28"/>
        </w:rPr>
        <w:t>月</w:t>
      </w:r>
      <w:r>
        <w:rPr>
          <w:rFonts w:hint="eastAsia" w:ascii="等线" w:hAnsi="等线" w:eastAsia="等线" w:cs="等线"/>
          <w:b/>
          <w:bCs/>
          <w:sz w:val="28"/>
          <w:szCs w:val="28"/>
          <w:lang w:val="en-US" w:eastAsia="zh-CN"/>
        </w:rPr>
        <w:t>09</w:t>
      </w:r>
      <w:bookmarkStart w:id="3" w:name="_GoBack"/>
      <w:bookmarkEnd w:id="3"/>
      <w:r>
        <w:rPr>
          <w:rFonts w:hint="eastAsia" w:ascii="等线" w:hAnsi="等线" w:eastAsia="等线" w:cs="等线"/>
          <w:b/>
          <w:bCs/>
          <w:sz w:val="28"/>
          <w:szCs w:val="28"/>
        </w:rPr>
        <w:t>日</w:t>
      </w:r>
      <w:bookmarkStart w:id="2" w:name="_Toc17282884"/>
    </w:p>
    <w:p>
      <w:pPr>
        <w:ind w:left="420" w:leftChars="200" w:firstLine="3240" w:firstLineChars="1350"/>
        <w:jc w:val="right"/>
        <w:rPr>
          <w:rFonts w:hint="eastAsia" w:ascii="等线" w:hAnsi="等线" w:eastAsia="等线" w:cs="等线"/>
          <w:bCs/>
          <w:sz w:val="24"/>
        </w:rPr>
      </w:pPr>
    </w:p>
    <w:bookmarkEnd w:id="2"/>
    <w:p>
      <w:pPr>
        <w:rPr>
          <w:rFonts w:hint="eastAsia" w:ascii="等线" w:hAnsi="等线" w:eastAsia="等线" w:cs="等线"/>
          <w:sz w:val="28"/>
          <w:szCs w:val="28"/>
        </w:rPr>
      </w:pPr>
    </w:p>
    <w:sectPr>
      <w:pgSz w:w="11906" w:h="16838"/>
      <w:pgMar w:top="1134" w:right="1080" w:bottom="1134"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526F83"/>
    <w:multiLevelType w:val="singleLevel"/>
    <w:tmpl w:val="49526F8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6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EyZTZhNjkzYzQ3OTYyOWU2YzgxZjI3ZjlmOGQzODkifQ=="/>
  </w:docVars>
  <w:rsids>
    <w:rsidRoot w:val="009F77A3"/>
    <w:rsid w:val="00006798"/>
    <w:rsid w:val="0001244A"/>
    <w:rsid w:val="000124B1"/>
    <w:rsid w:val="00021445"/>
    <w:rsid w:val="00047158"/>
    <w:rsid w:val="00050C3D"/>
    <w:rsid w:val="00053494"/>
    <w:rsid w:val="00054BA1"/>
    <w:rsid w:val="00054EC4"/>
    <w:rsid w:val="00060B40"/>
    <w:rsid w:val="00075E46"/>
    <w:rsid w:val="00080D9F"/>
    <w:rsid w:val="00082454"/>
    <w:rsid w:val="00082BFD"/>
    <w:rsid w:val="0008438F"/>
    <w:rsid w:val="0009236B"/>
    <w:rsid w:val="00093109"/>
    <w:rsid w:val="00096746"/>
    <w:rsid w:val="00096F8B"/>
    <w:rsid w:val="000A05DE"/>
    <w:rsid w:val="000A1080"/>
    <w:rsid w:val="000A20D6"/>
    <w:rsid w:val="000A5D4F"/>
    <w:rsid w:val="000B27F4"/>
    <w:rsid w:val="000B71AF"/>
    <w:rsid w:val="000B7CBF"/>
    <w:rsid w:val="000C3EFB"/>
    <w:rsid w:val="000C4DB3"/>
    <w:rsid w:val="000D089C"/>
    <w:rsid w:val="000E02E3"/>
    <w:rsid w:val="000E10DA"/>
    <w:rsid w:val="000F0D3E"/>
    <w:rsid w:val="000F2961"/>
    <w:rsid w:val="00100183"/>
    <w:rsid w:val="00101448"/>
    <w:rsid w:val="001121D2"/>
    <w:rsid w:val="00124588"/>
    <w:rsid w:val="00131C4E"/>
    <w:rsid w:val="00133A98"/>
    <w:rsid w:val="00135389"/>
    <w:rsid w:val="001416B8"/>
    <w:rsid w:val="0014178E"/>
    <w:rsid w:val="00154ACD"/>
    <w:rsid w:val="00174D10"/>
    <w:rsid w:val="001862D2"/>
    <w:rsid w:val="00193C09"/>
    <w:rsid w:val="0019749E"/>
    <w:rsid w:val="001A25C6"/>
    <w:rsid w:val="001A558F"/>
    <w:rsid w:val="001C5AED"/>
    <w:rsid w:val="001C666D"/>
    <w:rsid w:val="001D164D"/>
    <w:rsid w:val="001D36E3"/>
    <w:rsid w:val="001D496B"/>
    <w:rsid w:val="001E54C4"/>
    <w:rsid w:val="001F0902"/>
    <w:rsid w:val="001F2C4D"/>
    <w:rsid w:val="001F72CB"/>
    <w:rsid w:val="00203B54"/>
    <w:rsid w:val="00213FDA"/>
    <w:rsid w:val="002159A5"/>
    <w:rsid w:val="002160DE"/>
    <w:rsid w:val="00226F66"/>
    <w:rsid w:val="0023744F"/>
    <w:rsid w:val="0024354A"/>
    <w:rsid w:val="002441DB"/>
    <w:rsid w:val="00246B42"/>
    <w:rsid w:val="0025689C"/>
    <w:rsid w:val="00260F60"/>
    <w:rsid w:val="002679B4"/>
    <w:rsid w:val="00284E07"/>
    <w:rsid w:val="002A4817"/>
    <w:rsid w:val="002A65D0"/>
    <w:rsid w:val="002B322F"/>
    <w:rsid w:val="002B50DA"/>
    <w:rsid w:val="002C3B6D"/>
    <w:rsid w:val="002C525E"/>
    <w:rsid w:val="002C7E8B"/>
    <w:rsid w:val="002D399B"/>
    <w:rsid w:val="002D53E7"/>
    <w:rsid w:val="002D59D7"/>
    <w:rsid w:val="002F08CC"/>
    <w:rsid w:val="002F6319"/>
    <w:rsid w:val="003004FA"/>
    <w:rsid w:val="0030056A"/>
    <w:rsid w:val="00300F98"/>
    <w:rsid w:val="003048D2"/>
    <w:rsid w:val="00323FAE"/>
    <w:rsid w:val="00324002"/>
    <w:rsid w:val="003248B6"/>
    <w:rsid w:val="003634BA"/>
    <w:rsid w:val="0036709C"/>
    <w:rsid w:val="00372C1A"/>
    <w:rsid w:val="00373DF3"/>
    <w:rsid w:val="0037715E"/>
    <w:rsid w:val="00380D65"/>
    <w:rsid w:val="0039773D"/>
    <w:rsid w:val="003A68C0"/>
    <w:rsid w:val="003B2C50"/>
    <w:rsid w:val="003C65C3"/>
    <w:rsid w:val="003D07A5"/>
    <w:rsid w:val="003E0B84"/>
    <w:rsid w:val="003E215C"/>
    <w:rsid w:val="003E4220"/>
    <w:rsid w:val="003E7B59"/>
    <w:rsid w:val="003F1E25"/>
    <w:rsid w:val="003F4ACC"/>
    <w:rsid w:val="003F5827"/>
    <w:rsid w:val="003F7039"/>
    <w:rsid w:val="00403A34"/>
    <w:rsid w:val="0040534E"/>
    <w:rsid w:val="00410531"/>
    <w:rsid w:val="004114FF"/>
    <w:rsid w:val="00416613"/>
    <w:rsid w:val="0044166A"/>
    <w:rsid w:val="004423EC"/>
    <w:rsid w:val="00444349"/>
    <w:rsid w:val="00444490"/>
    <w:rsid w:val="0044799A"/>
    <w:rsid w:val="00452D9F"/>
    <w:rsid w:val="0045398A"/>
    <w:rsid w:val="004554B9"/>
    <w:rsid w:val="004559B3"/>
    <w:rsid w:val="00461F4F"/>
    <w:rsid w:val="00462562"/>
    <w:rsid w:val="004633B3"/>
    <w:rsid w:val="004643D8"/>
    <w:rsid w:val="00470392"/>
    <w:rsid w:val="00473EAB"/>
    <w:rsid w:val="004817E6"/>
    <w:rsid w:val="004956E2"/>
    <w:rsid w:val="004969F9"/>
    <w:rsid w:val="004A4A12"/>
    <w:rsid w:val="004B5CC0"/>
    <w:rsid w:val="004B78A4"/>
    <w:rsid w:val="004C2D66"/>
    <w:rsid w:val="004C3D9D"/>
    <w:rsid w:val="004D5C21"/>
    <w:rsid w:val="004E04B4"/>
    <w:rsid w:val="004E1B2D"/>
    <w:rsid w:val="004E7270"/>
    <w:rsid w:val="004F1072"/>
    <w:rsid w:val="004F342E"/>
    <w:rsid w:val="00504210"/>
    <w:rsid w:val="005130AD"/>
    <w:rsid w:val="005149CB"/>
    <w:rsid w:val="00514E57"/>
    <w:rsid w:val="005166FC"/>
    <w:rsid w:val="00531AB2"/>
    <w:rsid w:val="0054243C"/>
    <w:rsid w:val="00546995"/>
    <w:rsid w:val="00550206"/>
    <w:rsid w:val="00571E15"/>
    <w:rsid w:val="00572029"/>
    <w:rsid w:val="00585EA6"/>
    <w:rsid w:val="00597459"/>
    <w:rsid w:val="005A5D56"/>
    <w:rsid w:val="005B10AB"/>
    <w:rsid w:val="005B68B6"/>
    <w:rsid w:val="005C222F"/>
    <w:rsid w:val="005C5A5B"/>
    <w:rsid w:val="005C5E80"/>
    <w:rsid w:val="005D0EB9"/>
    <w:rsid w:val="005D3885"/>
    <w:rsid w:val="005E1168"/>
    <w:rsid w:val="005E1CED"/>
    <w:rsid w:val="005E4C93"/>
    <w:rsid w:val="005F0868"/>
    <w:rsid w:val="005F346D"/>
    <w:rsid w:val="005F726E"/>
    <w:rsid w:val="00600175"/>
    <w:rsid w:val="006020CF"/>
    <w:rsid w:val="0061138D"/>
    <w:rsid w:val="00612D7D"/>
    <w:rsid w:val="00613B8E"/>
    <w:rsid w:val="006145EA"/>
    <w:rsid w:val="00615ADB"/>
    <w:rsid w:val="00625525"/>
    <w:rsid w:val="00637EA9"/>
    <w:rsid w:val="0064078D"/>
    <w:rsid w:val="00640954"/>
    <w:rsid w:val="00647783"/>
    <w:rsid w:val="00660ABB"/>
    <w:rsid w:val="0066309A"/>
    <w:rsid w:val="006669EC"/>
    <w:rsid w:val="0066796F"/>
    <w:rsid w:val="00672B76"/>
    <w:rsid w:val="006863DD"/>
    <w:rsid w:val="006958D0"/>
    <w:rsid w:val="006A18E2"/>
    <w:rsid w:val="006A1F12"/>
    <w:rsid w:val="006A2C49"/>
    <w:rsid w:val="006A3B68"/>
    <w:rsid w:val="006A6A27"/>
    <w:rsid w:val="006D253E"/>
    <w:rsid w:val="006D67F9"/>
    <w:rsid w:val="006D6BDD"/>
    <w:rsid w:val="006E0339"/>
    <w:rsid w:val="006E74D8"/>
    <w:rsid w:val="006F196C"/>
    <w:rsid w:val="006F3DC2"/>
    <w:rsid w:val="006F729C"/>
    <w:rsid w:val="00707191"/>
    <w:rsid w:val="007071B1"/>
    <w:rsid w:val="007125B8"/>
    <w:rsid w:val="007211B2"/>
    <w:rsid w:val="00725C3D"/>
    <w:rsid w:val="00745F33"/>
    <w:rsid w:val="007760DC"/>
    <w:rsid w:val="00780D68"/>
    <w:rsid w:val="00785577"/>
    <w:rsid w:val="00793E61"/>
    <w:rsid w:val="007B03E1"/>
    <w:rsid w:val="007C6276"/>
    <w:rsid w:val="007D6BA3"/>
    <w:rsid w:val="007D7B4A"/>
    <w:rsid w:val="007D7FD7"/>
    <w:rsid w:val="007E0BA3"/>
    <w:rsid w:val="007E2AAB"/>
    <w:rsid w:val="007E4024"/>
    <w:rsid w:val="007F064D"/>
    <w:rsid w:val="007F1E05"/>
    <w:rsid w:val="007F7668"/>
    <w:rsid w:val="0080271C"/>
    <w:rsid w:val="00802E04"/>
    <w:rsid w:val="008165D7"/>
    <w:rsid w:val="00824C71"/>
    <w:rsid w:val="00837FAE"/>
    <w:rsid w:val="00845603"/>
    <w:rsid w:val="0086382C"/>
    <w:rsid w:val="008743D0"/>
    <w:rsid w:val="00876EAF"/>
    <w:rsid w:val="0089386C"/>
    <w:rsid w:val="008A2AAB"/>
    <w:rsid w:val="008A3660"/>
    <w:rsid w:val="008B3849"/>
    <w:rsid w:val="008B520F"/>
    <w:rsid w:val="008C4AE4"/>
    <w:rsid w:val="008C4EB9"/>
    <w:rsid w:val="008C63FA"/>
    <w:rsid w:val="008D0A5C"/>
    <w:rsid w:val="008E1C03"/>
    <w:rsid w:val="008F14CA"/>
    <w:rsid w:val="008F332E"/>
    <w:rsid w:val="008F401C"/>
    <w:rsid w:val="008F7305"/>
    <w:rsid w:val="00900B2A"/>
    <w:rsid w:val="009026A5"/>
    <w:rsid w:val="00904A26"/>
    <w:rsid w:val="00911737"/>
    <w:rsid w:val="00912B22"/>
    <w:rsid w:val="00915B62"/>
    <w:rsid w:val="009528BD"/>
    <w:rsid w:val="00956407"/>
    <w:rsid w:val="00960DE5"/>
    <w:rsid w:val="00962ED2"/>
    <w:rsid w:val="009644F3"/>
    <w:rsid w:val="009673CE"/>
    <w:rsid w:val="00976896"/>
    <w:rsid w:val="009774A9"/>
    <w:rsid w:val="00980BAC"/>
    <w:rsid w:val="00981CD6"/>
    <w:rsid w:val="00987ADC"/>
    <w:rsid w:val="00996E9B"/>
    <w:rsid w:val="009A2F7A"/>
    <w:rsid w:val="009A4E5B"/>
    <w:rsid w:val="009B0684"/>
    <w:rsid w:val="009B1362"/>
    <w:rsid w:val="009C6FB0"/>
    <w:rsid w:val="009C7992"/>
    <w:rsid w:val="009E5472"/>
    <w:rsid w:val="009F77A3"/>
    <w:rsid w:val="00A04186"/>
    <w:rsid w:val="00A06E9E"/>
    <w:rsid w:val="00A17E85"/>
    <w:rsid w:val="00A24894"/>
    <w:rsid w:val="00A33D36"/>
    <w:rsid w:val="00A340B3"/>
    <w:rsid w:val="00A365F8"/>
    <w:rsid w:val="00A5618F"/>
    <w:rsid w:val="00A57133"/>
    <w:rsid w:val="00A61A88"/>
    <w:rsid w:val="00A61F80"/>
    <w:rsid w:val="00A770BF"/>
    <w:rsid w:val="00A82897"/>
    <w:rsid w:val="00A96C30"/>
    <w:rsid w:val="00AA17D4"/>
    <w:rsid w:val="00AD733D"/>
    <w:rsid w:val="00AD753C"/>
    <w:rsid w:val="00AF77FD"/>
    <w:rsid w:val="00B075CE"/>
    <w:rsid w:val="00B161B8"/>
    <w:rsid w:val="00B21316"/>
    <w:rsid w:val="00B239DD"/>
    <w:rsid w:val="00B2466C"/>
    <w:rsid w:val="00B30EE2"/>
    <w:rsid w:val="00B327AC"/>
    <w:rsid w:val="00B50093"/>
    <w:rsid w:val="00B665D3"/>
    <w:rsid w:val="00B70E34"/>
    <w:rsid w:val="00B77A53"/>
    <w:rsid w:val="00B77A68"/>
    <w:rsid w:val="00B81DB7"/>
    <w:rsid w:val="00B838E4"/>
    <w:rsid w:val="00B91C54"/>
    <w:rsid w:val="00BA4A10"/>
    <w:rsid w:val="00BA59B0"/>
    <w:rsid w:val="00BC5DEF"/>
    <w:rsid w:val="00BF422E"/>
    <w:rsid w:val="00BF5D38"/>
    <w:rsid w:val="00BF7F45"/>
    <w:rsid w:val="00C02C98"/>
    <w:rsid w:val="00C04A09"/>
    <w:rsid w:val="00C051AD"/>
    <w:rsid w:val="00C15DB1"/>
    <w:rsid w:val="00C236B1"/>
    <w:rsid w:val="00C30596"/>
    <w:rsid w:val="00C42417"/>
    <w:rsid w:val="00C469BC"/>
    <w:rsid w:val="00C50C83"/>
    <w:rsid w:val="00C564B7"/>
    <w:rsid w:val="00C62C43"/>
    <w:rsid w:val="00C63A4D"/>
    <w:rsid w:val="00C6626E"/>
    <w:rsid w:val="00C6654E"/>
    <w:rsid w:val="00C7268D"/>
    <w:rsid w:val="00C81139"/>
    <w:rsid w:val="00C81E76"/>
    <w:rsid w:val="00C8276C"/>
    <w:rsid w:val="00C92482"/>
    <w:rsid w:val="00CA6354"/>
    <w:rsid w:val="00CB643E"/>
    <w:rsid w:val="00CB686D"/>
    <w:rsid w:val="00CB733D"/>
    <w:rsid w:val="00CC026D"/>
    <w:rsid w:val="00CC40D8"/>
    <w:rsid w:val="00CC4650"/>
    <w:rsid w:val="00CC678A"/>
    <w:rsid w:val="00CD00D0"/>
    <w:rsid w:val="00CE1DEC"/>
    <w:rsid w:val="00CE47FF"/>
    <w:rsid w:val="00CE6FA8"/>
    <w:rsid w:val="00CF5B96"/>
    <w:rsid w:val="00D065B6"/>
    <w:rsid w:val="00D15C55"/>
    <w:rsid w:val="00D25316"/>
    <w:rsid w:val="00D26F63"/>
    <w:rsid w:val="00D368DF"/>
    <w:rsid w:val="00D43345"/>
    <w:rsid w:val="00D43CDC"/>
    <w:rsid w:val="00D45B9D"/>
    <w:rsid w:val="00D50107"/>
    <w:rsid w:val="00D5062F"/>
    <w:rsid w:val="00D62DE1"/>
    <w:rsid w:val="00D640FA"/>
    <w:rsid w:val="00D748AF"/>
    <w:rsid w:val="00D767E2"/>
    <w:rsid w:val="00D87443"/>
    <w:rsid w:val="00DA4EF6"/>
    <w:rsid w:val="00DB0D1E"/>
    <w:rsid w:val="00DB0DC5"/>
    <w:rsid w:val="00DC09FB"/>
    <w:rsid w:val="00DC7087"/>
    <w:rsid w:val="00DC7DB9"/>
    <w:rsid w:val="00DD0FAA"/>
    <w:rsid w:val="00DE1518"/>
    <w:rsid w:val="00DF15DE"/>
    <w:rsid w:val="00DF2B6B"/>
    <w:rsid w:val="00DF5264"/>
    <w:rsid w:val="00E037FA"/>
    <w:rsid w:val="00E15D22"/>
    <w:rsid w:val="00E171B6"/>
    <w:rsid w:val="00E200E3"/>
    <w:rsid w:val="00E228D1"/>
    <w:rsid w:val="00E23C7B"/>
    <w:rsid w:val="00E304BC"/>
    <w:rsid w:val="00E322A0"/>
    <w:rsid w:val="00E33954"/>
    <w:rsid w:val="00E3486E"/>
    <w:rsid w:val="00E47611"/>
    <w:rsid w:val="00E53A3C"/>
    <w:rsid w:val="00E57C8D"/>
    <w:rsid w:val="00E770F2"/>
    <w:rsid w:val="00EA5181"/>
    <w:rsid w:val="00EA546A"/>
    <w:rsid w:val="00EB2079"/>
    <w:rsid w:val="00EB35F9"/>
    <w:rsid w:val="00EC7CE2"/>
    <w:rsid w:val="00ED0DD7"/>
    <w:rsid w:val="00ED10B0"/>
    <w:rsid w:val="00ED2025"/>
    <w:rsid w:val="00ED23AC"/>
    <w:rsid w:val="00EE12BA"/>
    <w:rsid w:val="00EE2210"/>
    <w:rsid w:val="00EE5C5C"/>
    <w:rsid w:val="00EF2462"/>
    <w:rsid w:val="00EF36F4"/>
    <w:rsid w:val="00EF6B88"/>
    <w:rsid w:val="00F00230"/>
    <w:rsid w:val="00F12541"/>
    <w:rsid w:val="00F1267F"/>
    <w:rsid w:val="00F17611"/>
    <w:rsid w:val="00F2223F"/>
    <w:rsid w:val="00F25764"/>
    <w:rsid w:val="00F32B05"/>
    <w:rsid w:val="00F47920"/>
    <w:rsid w:val="00F67C39"/>
    <w:rsid w:val="00F71254"/>
    <w:rsid w:val="00F76E7B"/>
    <w:rsid w:val="00F94AE0"/>
    <w:rsid w:val="00F972DC"/>
    <w:rsid w:val="00FA4897"/>
    <w:rsid w:val="00FA4C1C"/>
    <w:rsid w:val="00FA7343"/>
    <w:rsid w:val="00FB19FB"/>
    <w:rsid w:val="00FB2411"/>
    <w:rsid w:val="00FE4065"/>
    <w:rsid w:val="00FF3A05"/>
    <w:rsid w:val="034C054A"/>
    <w:rsid w:val="06033790"/>
    <w:rsid w:val="075F5FA7"/>
    <w:rsid w:val="076255BF"/>
    <w:rsid w:val="078A6861"/>
    <w:rsid w:val="07FB23B3"/>
    <w:rsid w:val="08993853"/>
    <w:rsid w:val="08CD7164"/>
    <w:rsid w:val="08DE2508"/>
    <w:rsid w:val="0A7C4765"/>
    <w:rsid w:val="0B4579B6"/>
    <w:rsid w:val="0B6B36C4"/>
    <w:rsid w:val="0BB15E31"/>
    <w:rsid w:val="0C14320B"/>
    <w:rsid w:val="0D795650"/>
    <w:rsid w:val="0DF95216"/>
    <w:rsid w:val="0E407A3D"/>
    <w:rsid w:val="0F90730D"/>
    <w:rsid w:val="10661113"/>
    <w:rsid w:val="10C446CF"/>
    <w:rsid w:val="10F43F2A"/>
    <w:rsid w:val="10FE2CBE"/>
    <w:rsid w:val="11C6025A"/>
    <w:rsid w:val="12983E15"/>
    <w:rsid w:val="129B28AF"/>
    <w:rsid w:val="172658E5"/>
    <w:rsid w:val="176439F4"/>
    <w:rsid w:val="17DE346B"/>
    <w:rsid w:val="183122AB"/>
    <w:rsid w:val="18C34894"/>
    <w:rsid w:val="1A733DD7"/>
    <w:rsid w:val="1AC568CA"/>
    <w:rsid w:val="1C702230"/>
    <w:rsid w:val="1D460871"/>
    <w:rsid w:val="1D721295"/>
    <w:rsid w:val="1E285EAA"/>
    <w:rsid w:val="1EE26A19"/>
    <w:rsid w:val="1F47306B"/>
    <w:rsid w:val="2005362F"/>
    <w:rsid w:val="208F41A7"/>
    <w:rsid w:val="21554E01"/>
    <w:rsid w:val="2181299C"/>
    <w:rsid w:val="2267586D"/>
    <w:rsid w:val="22EF3EB4"/>
    <w:rsid w:val="23CE4567"/>
    <w:rsid w:val="24E706AB"/>
    <w:rsid w:val="25525364"/>
    <w:rsid w:val="258A6D53"/>
    <w:rsid w:val="25F1094F"/>
    <w:rsid w:val="26014B32"/>
    <w:rsid w:val="265144D6"/>
    <w:rsid w:val="26892E94"/>
    <w:rsid w:val="273B715A"/>
    <w:rsid w:val="27992052"/>
    <w:rsid w:val="27EF4D97"/>
    <w:rsid w:val="28284B79"/>
    <w:rsid w:val="2A125006"/>
    <w:rsid w:val="2A4E615C"/>
    <w:rsid w:val="2A8E6366"/>
    <w:rsid w:val="2AF1311F"/>
    <w:rsid w:val="2AFC05D2"/>
    <w:rsid w:val="2BA61F13"/>
    <w:rsid w:val="2BFA306A"/>
    <w:rsid w:val="2C3421BE"/>
    <w:rsid w:val="2D516CA9"/>
    <w:rsid w:val="30FF3ADB"/>
    <w:rsid w:val="31FC0D5B"/>
    <w:rsid w:val="33862D52"/>
    <w:rsid w:val="34AB16B1"/>
    <w:rsid w:val="35254263"/>
    <w:rsid w:val="354205AB"/>
    <w:rsid w:val="375D010A"/>
    <w:rsid w:val="37CE7270"/>
    <w:rsid w:val="38A85E8A"/>
    <w:rsid w:val="391E66AA"/>
    <w:rsid w:val="39427C32"/>
    <w:rsid w:val="3A8F0ED5"/>
    <w:rsid w:val="3B3A26E2"/>
    <w:rsid w:val="3B8A07D9"/>
    <w:rsid w:val="3BDA24B7"/>
    <w:rsid w:val="3CE16E54"/>
    <w:rsid w:val="3E38086D"/>
    <w:rsid w:val="3E5C75A5"/>
    <w:rsid w:val="3ECA0DC7"/>
    <w:rsid w:val="3FA82EF3"/>
    <w:rsid w:val="40512D48"/>
    <w:rsid w:val="406B2C63"/>
    <w:rsid w:val="41A0743E"/>
    <w:rsid w:val="42F47C2B"/>
    <w:rsid w:val="43004487"/>
    <w:rsid w:val="438F3837"/>
    <w:rsid w:val="455A35B8"/>
    <w:rsid w:val="47226E3F"/>
    <w:rsid w:val="480E1955"/>
    <w:rsid w:val="49CB684C"/>
    <w:rsid w:val="49D618B2"/>
    <w:rsid w:val="4A4C0A8A"/>
    <w:rsid w:val="4ABD6546"/>
    <w:rsid w:val="4AE35779"/>
    <w:rsid w:val="4AEA4A09"/>
    <w:rsid w:val="4BD129F7"/>
    <w:rsid w:val="4D334771"/>
    <w:rsid w:val="4DF56856"/>
    <w:rsid w:val="4E866B6A"/>
    <w:rsid w:val="4F141822"/>
    <w:rsid w:val="4F4B1D69"/>
    <w:rsid w:val="5014210C"/>
    <w:rsid w:val="505B7BEF"/>
    <w:rsid w:val="50D46C3C"/>
    <w:rsid w:val="5187672D"/>
    <w:rsid w:val="51F83145"/>
    <w:rsid w:val="55A10FD8"/>
    <w:rsid w:val="55B150D8"/>
    <w:rsid w:val="55D743A1"/>
    <w:rsid w:val="55F30216"/>
    <w:rsid w:val="57201A2B"/>
    <w:rsid w:val="58BE629F"/>
    <w:rsid w:val="5AAB76C7"/>
    <w:rsid w:val="5B4D51C8"/>
    <w:rsid w:val="5DD27F11"/>
    <w:rsid w:val="5F49565B"/>
    <w:rsid w:val="5F935AC9"/>
    <w:rsid w:val="5FA3676E"/>
    <w:rsid w:val="60674A42"/>
    <w:rsid w:val="60BE0B08"/>
    <w:rsid w:val="61C62D6D"/>
    <w:rsid w:val="626D2AC1"/>
    <w:rsid w:val="62EE7D41"/>
    <w:rsid w:val="63666DD1"/>
    <w:rsid w:val="641C56CD"/>
    <w:rsid w:val="64A0117F"/>
    <w:rsid w:val="653C2FA6"/>
    <w:rsid w:val="66D7037B"/>
    <w:rsid w:val="673630E8"/>
    <w:rsid w:val="67FD21E1"/>
    <w:rsid w:val="6A2C5AD4"/>
    <w:rsid w:val="6A7C11F6"/>
    <w:rsid w:val="6B6B3BBC"/>
    <w:rsid w:val="6BE83CA4"/>
    <w:rsid w:val="6C091155"/>
    <w:rsid w:val="6C582CD7"/>
    <w:rsid w:val="6C5A02AB"/>
    <w:rsid w:val="6E39421C"/>
    <w:rsid w:val="70AB501F"/>
    <w:rsid w:val="70F07692"/>
    <w:rsid w:val="72844219"/>
    <w:rsid w:val="72947ABA"/>
    <w:rsid w:val="72974884"/>
    <w:rsid w:val="72B74696"/>
    <w:rsid w:val="730035C2"/>
    <w:rsid w:val="731E12D9"/>
    <w:rsid w:val="74403019"/>
    <w:rsid w:val="75240DF5"/>
    <w:rsid w:val="75510676"/>
    <w:rsid w:val="76687AB2"/>
    <w:rsid w:val="77AE229E"/>
    <w:rsid w:val="78BA149D"/>
    <w:rsid w:val="79383FB7"/>
    <w:rsid w:val="7A6A4A7C"/>
    <w:rsid w:val="7D190CC4"/>
    <w:rsid w:val="7E586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0"/>
    <w:pPr>
      <w:keepNext/>
      <w:spacing w:beforeLines="50" w:afterLines="50" w:line="440" w:lineRule="exact"/>
      <w:jc w:val="center"/>
      <w:outlineLvl w:val="0"/>
    </w:pPr>
    <w:rPr>
      <w:rFonts w:ascii="宋体" w:hAnsi="宋体"/>
      <w:b/>
      <w:bCs/>
      <w:sz w:val="30"/>
      <w:szCs w:val="20"/>
    </w:rPr>
  </w:style>
  <w:style w:type="paragraph" w:styleId="4">
    <w:name w:val="heading 2"/>
    <w:next w:val="1"/>
    <w:link w:val="25"/>
    <w:semiHidden/>
    <w:unhideWhenUsed/>
    <w:qFormat/>
    <w:uiPriority w:val="0"/>
    <w:pPr>
      <w:keepNext/>
      <w:keepLines/>
      <w:spacing w:beforeLines="50" w:after="120" w:line="460" w:lineRule="exact"/>
      <w:jc w:val="center"/>
      <w:outlineLvl w:val="1"/>
    </w:pPr>
    <w:rPr>
      <w:rFonts w:ascii="宋体" w:hAnsi="宋体" w:eastAsia="宋体" w:cstheme="majorBidi"/>
      <w:b/>
      <w:bCs/>
      <w:kern w:val="2"/>
      <w:sz w:val="28"/>
      <w:szCs w:val="28"/>
      <w:lang w:val="en-US" w:eastAsia="zh-CN" w:bidi="ar-SA"/>
    </w:rPr>
  </w:style>
  <w:style w:type="paragraph" w:styleId="5">
    <w:name w:val="heading 3"/>
    <w:next w:val="1"/>
    <w:link w:val="26"/>
    <w:semiHidden/>
    <w:unhideWhenUsed/>
    <w:qFormat/>
    <w:uiPriority w:val="0"/>
    <w:pPr>
      <w:keepNext/>
      <w:keepLines/>
      <w:spacing w:line="500" w:lineRule="exact"/>
      <w:outlineLvl w:val="2"/>
    </w:pPr>
    <w:rPr>
      <w:rFonts w:ascii="宋体" w:hAnsi="宋体" w:eastAsia="宋体" w:cs="Times New Roman"/>
      <w:b/>
      <w:bCs/>
      <w:kern w:val="2"/>
      <w:sz w:val="24"/>
      <w:szCs w:val="24"/>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style>
  <w:style w:type="paragraph" w:styleId="6">
    <w:name w:val="Body Text"/>
    <w:basedOn w:val="1"/>
    <w:link w:val="19"/>
    <w:semiHidden/>
    <w:qFormat/>
    <w:uiPriority w:val="0"/>
    <w:rPr>
      <w:rFonts w:eastAsia="黑体"/>
      <w:sz w:val="28"/>
      <w:szCs w:val="28"/>
    </w:rPr>
  </w:style>
  <w:style w:type="paragraph" w:styleId="7">
    <w:name w:val="Body Text Indent"/>
    <w:basedOn w:val="1"/>
    <w:semiHidden/>
    <w:unhideWhenUsed/>
    <w:qFormat/>
    <w:uiPriority w:val="99"/>
    <w:pPr>
      <w:spacing w:after="120"/>
      <w:ind w:left="420" w:leftChars="200"/>
    </w:pPr>
  </w:style>
  <w:style w:type="paragraph" w:styleId="8">
    <w:name w:val="Date"/>
    <w:basedOn w:val="1"/>
    <w:next w:val="1"/>
    <w:link w:val="23"/>
    <w:semiHidden/>
    <w:unhideWhenUsed/>
    <w:qFormat/>
    <w:uiPriority w:val="99"/>
    <w:pPr>
      <w:ind w:left="100" w:leftChars="2500"/>
    </w:pPr>
  </w:style>
  <w:style w:type="paragraph" w:styleId="9">
    <w:name w:val="Balloon Text"/>
    <w:basedOn w:val="1"/>
    <w:link w:val="18"/>
    <w:semiHidden/>
    <w:unhideWhenUsed/>
    <w:qFormat/>
    <w:uiPriority w:val="99"/>
    <w:rPr>
      <w:sz w:val="18"/>
      <w:szCs w:val="18"/>
    </w:rPr>
  </w:style>
  <w:style w:type="paragraph" w:styleId="10">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13">
    <w:name w:val="Table Grid"/>
    <w:basedOn w:val="12"/>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unhideWhenUsed/>
    <w:qFormat/>
    <w:uiPriority w:val="99"/>
    <w:rPr>
      <w:color w:val="0563C1"/>
      <w:u w:val="single"/>
    </w:rPr>
  </w:style>
  <w:style w:type="character" w:customStyle="1" w:styleId="16">
    <w:name w:val="页眉 字符"/>
    <w:basedOn w:val="14"/>
    <w:link w:val="11"/>
    <w:qFormat/>
    <w:uiPriority w:val="99"/>
    <w:rPr>
      <w:sz w:val="18"/>
      <w:szCs w:val="18"/>
    </w:rPr>
  </w:style>
  <w:style w:type="character" w:customStyle="1" w:styleId="17">
    <w:name w:val="页脚 字符"/>
    <w:basedOn w:val="14"/>
    <w:link w:val="10"/>
    <w:qFormat/>
    <w:uiPriority w:val="99"/>
    <w:rPr>
      <w:sz w:val="18"/>
      <w:szCs w:val="18"/>
    </w:rPr>
  </w:style>
  <w:style w:type="character" w:customStyle="1" w:styleId="18">
    <w:name w:val="批注框文本 字符"/>
    <w:basedOn w:val="14"/>
    <w:link w:val="9"/>
    <w:semiHidden/>
    <w:qFormat/>
    <w:uiPriority w:val="99"/>
    <w:rPr>
      <w:rFonts w:ascii="Times New Roman" w:hAnsi="Times New Roman" w:eastAsia="宋体" w:cs="Times New Roman"/>
      <w:sz w:val="18"/>
      <w:szCs w:val="18"/>
    </w:rPr>
  </w:style>
  <w:style w:type="character" w:customStyle="1" w:styleId="19">
    <w:name w:val="正文文本 字符"/>
    <w:basedOn w:val="14"/>
    <w:link w:val="6"/>
    <w:semiHidden/>
    <w:qFormat/>
    <w:uiPriority w:val="0"/>
    <w:rPr>
      <w:rFonts w:ascii="Times New Roman" w:hAnsi="Times New Roman" w:eastAsia="黑体" w:cs="Times New Roman"/>
      <w:sz w:val="28"/>
      <w:szCs w:val="28"/>
    </w:rPr>
  </w:style>
  <w:style w:type="paragraph" w:styleId="20">
    <w:name w:val="List Paragraph"/>
    <w:basedOn w:val="1"/>
    <w:qFormat/>
    <w:uiPriority w:val="34"/>
    <w:pPr>
      <w:ind w:firstLine="420" w:firstLineChars="200"/>
    </w:pPr>
  </w:style>
  <w:style w:type="paragraph" w:customStyle="1" w:styleId="21">
    <w:name w:val="正文缩进1"/>
    <w:basedOn w:val="1"/>
    <w:next w:val="7"/>
    <w:qFormat/>
    <w:uiPriority w:val="0"/>
    <w:pPr>
      <w:ind w:firstLine="200" w:firstLineChars="200"/>
    </w:pPr>
  </w:style>
  <w:style w:type="character" w:customStyle="1" w:styleId="22">
    <w:name w:val="未处理的提及1"/>
    <w:basedOn w:val="14"/>
    <w:semiHidden/>
    <w:unhideWhenUsed/>
    <w:qFormat/>
    <w:uiPriority w:val="99"/>
    <w:rPr>
      <w:color w:val="605E5C"/>
      <w:shd w:val="clear" w:color="auto" w:fill="E1DFDD"/>
    </w:rPr>
  </w:style>
  <w:style w:type="character" w:customStyle="1" w:styleId="23">
    <w:name w:val="日期 字符"/>
    <w:basedOn w:val="14"/>
    <w:link w:val="8"/>
    <w:semiHidden/>
    <w:qFormat/>
    <w:uiPriority w:val="99"/>
    <w:rPr>
      <w:rFonts w:ascii="Times New Roman" w:hAnsi="Times New Roman"/>
      <w:kern w:val="2"/>
      <w:sz w:val="21"/>
      <w:szCs w:val="24"/>
    </w:rPr>
  </w:style>
  <w:style w:type="character" w:customStyle="1" w:styleId="24">
    <w:name w:val="标题 1 字符"/>
    <w:basedOn w:val="14"/>
    <w:link w:val="3"/>
    <w:qFormat/>
    <w:uiPriority w:val="0"/>
    <w:rPr>
      <w:rFonts w:ascii="宋体" w:hAnsi="宋体"/>
      <w:b/>
      <w:bCs/>
      <w:kern w:val="2"/>
      <w:sz w:val="30"/>
    </w:rPr>
  </w:style>
  <w:style w:type="character" w:customStyle="1" w:styleId="25">
    <w:name w:val="标题 2 字符"/>
    <w:basedOn w:val="14"/>
    <w:link w:val="4"/>
    <w:semiHidden/>
    <w:qFormat/>
    <w:uiPriority w:val="0"/>
    <w:rPr>
      <w:rFonts w:ascii="宋体" w:hAnsi="宋体" w:cstheme="majorBidi"/>
      <w:b/>
      <w:bCs/>
      <w:kern w:val="2"/>
      <w:sz w:val="28"/>
      <w:szCs w:val="28"/>
    </w:rPr>
  </w:style>
  <w:style w:type="character" w:customStyle="1" w:styleId="26">
    <w:name w:val="标题 3 字符"/>
    <w:basedOn w:val="14"/>
    <w:link w:val="5"/>
    <w:semiHidden/>
    <w:qFormat/>
    <w:uiPriority w:val="0"/>
    <w:rPr>
      <w:rFonts w:ascii="宋体" w:hAnsi="宋体"/>
      <w:b/>
      <w:bCs/>
      <w:kern w:val="2"/>
      <w:sz w:val="24"/>
      <w:szCs w:val="24"/>
    </w:rPr>
  </w:style>
  <w:style w:type="character" w:customStyle="1" w:styleId="27">
    <w:name w:val="font21"/>
    <w:basedOn w:val="14"/>
    <w:qFormat/>
    <w:uiPriority w:val="0"/>
    <w:rPr>
      <w:rFonts w:ascii="Calibri" w:hAnsi="Calibri" w:cs="Calibri"/>
      <w:color w:val="000000"/>
      <w:sz w:val="21"/>
      <w:szCs w:val="21"/>
      <w:u w:val="none"/>
    </w:rPr>
  </w:style>
  <w:style w:type="paragraph" w:customStyle="1" w:styleId="28">
    <w:name w:val="表格正文"/>
    <w:basedOn w:val="1"/>
    <w:qFormat/>
    <w:uiPriority w:val="99"/>
    <w:pPr>
      <w:spacing w:line="360" w:lineRule="exact"/>
      <w:jc w:val="center"/>
    </w:pPr>
    <w:rPr>
      <w:rFonts w:ascii="Calibri" w:hAnsi="Calibri" w:cs="Arial"/>
      <w:color w:val="000000"/>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DEDB0-04B0-4C8C-9358-684DAB889D2F}">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1928</Words>
  <Characters>2088</Characters>
  <Lines>51</Lines>
  <Paragraphs>14</Paragraphs>
  <TotalTime>33</TotalTime>
  <ScaleCrop>false</ScaleCrop>
  <LinksUpToDate>false</LinksUpToDate>
  <CharactersWithSpaces>2125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2022-04-12T10:26:00Z</dcterms:created>
  <dc:creator>崔瑞军</dc:creator>
  <cp:lastModifiedBy>WPS_1559701585</cp:lastModifiedBy>
  <cp:lastPrinted>2022-09-22T01:22:00Z</cp:lastPrinted>
  <dcterms:modified xsi:type="dcterms:W3CDTF">2023-02-09T01:35:45Z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DDDB665585A2493BAF85400ED6A10086</vt:lpwstr>
  </property>
</Properties>
</file>